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949" w:rsidRPr="006F3016" w:rsidRDefault="00202949" w:rsidP="00202949">
      <w:pPr>
        <w:pStyle w:val="BodyText"/>
        <w:spacing w:before="6"/>
        <w:jc w:val="right"/>
        <w:rPr>
          <w:rFonts w:ascii="Arial" w:hAnsi="Arial" w:cs="Arial"/>
        </w:rPr>
      </w:pPr>
      <w:r w:rsidRPr="006F3016">
        <w:rPr>
          <w:rFonts w:ascii="Arial" w:hAnsi="Arial" w:cs="Arial"/>
          <w:noProof/>
          <w:lang w:val="en-GB" w:eastAsia="en-GB"/>
        </w:rPr>
        <w:drawing>
          <wp:inline distT="0" distB="0" distL="0" distR="0">
            <wp:extent cx="733425"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b-logo-default.png"/>
                    <pic:cNvPicPr/>
                  </pic:nvPicPr>
                  <pic:blipFill>
                    <a:blip r:embed="rId7">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p w:rsidR="00202949" w:rsidRPr="006F3016" w:rsidRDefault="00202949">
      <w:pPr>
        <w:pStyle w:val="BodyText"/>
        <w:spacing w:before="6"/>
        <w:rPr>
          <w:rFonts w:ascii="Arial" w:hAnsi="Arial" w:cs="Arial"/>
        </w:rPr>
      </w:pPr>
    </w:p>
    <w:p w:rsidR="001D46E1" w:rsidRPr="006F3016" w:rsidRDefault="001D46E1">
      <w:pPr>
        <w:pStyle w:val="BodyText"/>
        <w:spacing w:before="6"/>
        <w:rPr>
          <w:rFonts w:ascii="Arial" w:hAnsi="Arial" w:cs="Arial"/>
        </w:rPr>
      </w:pPr>
    </w:p>
    <w:p w:rsidR="001D46E1" w:rsidRPr="006F3016" w:rsidRDefault="00C2791A" w:rsidP="006F3016">
      <w:pPr>
        <w:spacing w:line="670" w:lineRule="exact"/>
        <w:ind w:right="658"/>
        <w:rPr>
          <w:rFonts w:ascii="Arial" w:hAnsi="Arial" w:cs="Arial"/>
          <w:b/>
        </w:rPr>
      </w:pPr>
      <w:r>
        <w:rPr>
          <w:rFonts w:ascii="Arial" w:hAnsi="Arial" w:cs="Arial"/>
          <w:b/>
          <w:noProof/>
          <w:lang w:val="en-GB" w:eastAsia="en-GB"/>
        </w:rPr>
        <mc:AlternateContent>
          <mc:Choice Requires="wps">
            <w:drawing>
              <wp:anchor distT="0" distB="0" distL="0" distR="0" simplePos="0" relativeHeight="251658240" behindDoc="0" locked="0" layoutInCell="1" allowOverlap="1">
                <wp:simplePos x="0" y="0"/>
                <wp:positionH relativeFrom="page">
                  <wp:posOffset>771525</wp:posOffset>
                </wp:positionH>
                <wp:positionV relativeFrom="paragraph">
                  <wp:posOffset>555625</wp:posOffset>
                </wp:positionV>
                <wp:extent cx="6107430" cy="0"/>
                <wp:effectExtent l="9525" t="12065" r="7620" b="698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39992"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75pt,43.75pt" to="541.6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0E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6nWfqUj0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">
                <w10:wrap type="topAndBottom" anchorx="page"/>
              </v:line>
            </w:pict>
          </mc:Fallback>
        </mc:AlternateContent>
      </w:r>
      <w:r>
        <w:rPr>
          <w:rFonts w:ascii="Arial" w:hAnsi="Arial" w:cs="Arial"/>
          <w:b/>
        </w:rPr>
        <w:t>Guidance for</w:t>
      </w:r>
      <w:bookmarkStart w:id="0" w:name="_GoBack"/>
      <w:bookmarkEnd w:id="0"/>
      <w:r w:rsidR="00811ABF" w:rsidRPr="006F3016">
        <w:rPr>
          <w:rFonts w:ascii="Arial" w:hAnsi="Arial" w:cs="Arial"/>
          <w:b/>
        </w:rPr>
        <w:t xml:space="preserve"> </w:t>
      </w:r>
      <w:r>
        <w:rPr>
          <w:rFonts w:ascii="Arial" w:hAnsi="Arial" w:cs="Arial"/>
          <w:b/>
        </w:rPr>
        <w:t xml:space="preserve">external </w:t>
      </w:r>
      <w:r w:rsidR="00811ABF" w:rsidRPr="006F3016">
        <w:rPr>
          <w:rFonts w:ascii="Arial" w:hAnsi="Arial" w:cs="Arial"/>
          <w:b/>
        </w:rPr>
        <w:t xml:space="preserve">non-medical helpers </w:t>
      </w:r>
    </w:p>
    <w:p w:rsidR="001D46E1" w:rsidRPr="006F3016" w:rsidRDefault="001D46E1" w:rsidP="006F3016">
      <w:pPr>
        <w:pStyle w:val="BodyText"/>
        <w:spacing w:before="6"/>
        <w:rPr>
          <w:rFonts w:ascii="Arial" w:hAnsi="Arial" w:cs="Arial"/>
          <w:color w:val="000000" w:themeColor="text1"/>
        </w:rPr>
      </w:pPr>
    </w:p>
    <w:p w:rsidR="001D46E1" w:rsidRPr="006F3016" w:rsidRDefault="00C2000E" w:rsidP="006F3016">
      <w:pPr>
        <w:pStyle w:val="Heading1"/>
        <w:ind w:left="0"/>
        <w:rPr>
          <w:rFonts w:ascii="Arial" w:hAnsi="Arial" w:cs="Arial"/>
          <w:b/>
          <w:color w:val="000000" w:themeColor="text1"/>
          <w:sz w:val="22"/>
          <w:szCs w:val="22"/>
        </w:rPr>
      </w:pPr>
      <w:r w:rsidRPr="006F3016">
        <w:rPr>
          <w:rFonts w:ascii="Arial" w:hAnsi="Arial" w:cs="Arial"/>
          <w:b/>
          <w:color w:val="000000" w:themeColor="text1"/>
          <w:sz w:val="22"/>
          <w:szCs w:val="22"/>
        </w:rPr>
        <w:t>Introduction</w:t>
      </w:r>
    </w:p>
    <w:p w:rsidR="00155AC1" w:rsidRPr="006F3016" w:rsidRDefault="00155AC1" w:rsidP="006F3016">
      <w:pPr>
        <w:pStyle w:val="BodyText"/>
        <w:ind w:right="658"/>
        <w:rPr>
          <w:rFonts w:ascii="Arial" w:hAnsi="Arial" w:cs="Arial"/>
          <w:color w:val="000000" w:themeColor="text1"/>
        </w:rPr>
      </w:pPr>
    </w:p>
    <w:p w:rsidR="00811ABF" w:rsidRPr="006F3016" w:rsidRDefault="00811ABF" w:rsidP="006F3016">
      <w:pPr>
        <w:pStyle w:val="BodyText"/>
        <w:ind w:right="658"/>
        <w:rPr>
          <w:rFonts w:ascii="Arial" w:hAnsi="Arial" w:cs="Arial"/>
          <w:color w:val="000000" w:themeColor="text1"/>
        </w:rPr>
      </w:pPr>
      <w:r w:rsidRPr="006F3016">
        <w:rPr>
          <w:rFonts w:ascii="Arial" w:hAnsi="Arial" w:cs="Arial"/>
          <w:color w:val="000000" w:themeColor="text1"/>
        </w:rPr>
        <w:t>The Arts University Bournemouth (AUB) wishes to establish effective working relationships with suppliers of Non-medical helpers (NMH).  This document sets out the expectations of the University’s engagement with NMHs.</w:t>
      </w:r>
    </w:p>
    <w:p w:rsidR="00811ABF" w:rsidRPr="006F3016" w:rsidRDefault="00811ABF" w:rsidP="006F3016">
      <w:pPr>
        <w:pStyle w:val="BodyText"/>
        <w:ind w:right="658"/>
        <w:rPr>
          <w:rFonts w:ascii="Arial" w:hAnsi="Arial" w:cs="Arial"/>
          <w:color w:val="000000" w:themeColor="text1"/>
        </w:rPr>
      </w:pPr>
    </w:p>
    <w:p w:rsidR="001D46E1" w:rsidRPr="006F3016" w:rsidRDefault="00155AC1" w:rsidP="006F3016">
      <w:pPr>
        <w:pStyle w:val="BodyText"/>
        <w:ind w:right="658"/>
        <w:rPr>
          <w:rFonts w:ascii="Arial" w:hAnsi="Arial" w:cs="Arial"/>
          <w:color w:val="000000" w:themeColor="text1"/>
        </w:rPr>
      </w:pPr>
      <w:r w:rsidRPr="006F3016">
        <w:rPr>
          <w:rFonts w:ascii="Arial" w:hAnsi="Arial" w:cs="Arial"/>
          <w:color w:val="000000" w:themeColor="text1"/>
        </w:rPr>
        <w:t>In accordance with national expectations, all p</w:t>
      </w:r>
      <w:r w:rsidR="00C2000E" w:rsidRPr="006F3016">
        <w:rPr>
          <w:rFonts w:ascii="Arial" w:hAnsi="Arial" w:cs="Arial"/>
          <w:color w:val="000000" w:themeColor="text1"/>
        </w:rPr>
        <w:t>roviders of Non-Medical Helper (NMH) support must adhere to the Disabled Students’ Allowance Quality Assurance Group (DSA-QAG) Quality Assurance Framework (QAF) standards, and ensure that all relevant policies are in place, shared with the student, and made available to the University on request.</w:t>
      </w:r>
    </w:p>
    <w:p w:rsidR="00155AC1" w:rsidRPr="006F3016" w:rsidRDefault="00155AC1" w:rsidP="006F3016">
      <w:pPr>
        <w:pStyle w:val="BodyText"/>
        <w:ind w:right="658"/>
        <w:rPr>
          <w:rFonts w:ascii="Arial" w:hAnsi="Arial" w:cs="Arial"/>
          <w:color w:val="000000" w:themeColor="text1"/>
        </w:rPr>
      </w:pPr>
    </w:p>
    <w:p w:rsidR="001D46E1" w:rsidRPr="006F3016" w:rsidRDefault="00155AC1" w:rsidP="006F3016">
      <w:pPr>
        <w:pStyle w:val="BodyText"/>
        <w:ind w:right="558"/>
        <w:rPr>
          <w:rFonts w:ascii="Arial" w:hAnsi="Arial" w:cs="Arial"/>
          <w:color w:val="000000" w:themeColor="text1"/>
        </w:rPr>
      </w:pPr>
      <w:r w:rsidRPr="006F3016">
        <w:rPr>
          <w:rFonts w:ascii="Arial" w:hAnsi="Arial" w:cs="Arial"/>
          <w:color w:val="000000" w:themeColor="text1"/>
        </w:rPr>
        <w:t xml:space="preserve">The </w:t>
      </w:r>
      <w:r w:rsidR="00C2000E" w:rsidRPr="006F3016">
        <w:rPr>
          <w:rFonts w:ascii="Arial" w:hAnsi="Arial" w:cs="Arial"/>
          <w:color w:val="000000" w:themeColor="text1"/>
        </w:rPr>
        <w:t>DSA-QAG requires external NMH suppliers to set up reporting mechanisms with Higher Education Institutions (HEIs) to inform them of the support being provided to students. They must explain to students the importance of the reporting mechanism, and encourage students to give permission for information to be shared. They must also familiarise themselves with the information provided by the HEI regarding the delivery of NMH services to their students, and cascade this information to support workers.</w:t>
      </w:r>
    </w:p>
    <w:p w:rsidR="00811ABF" w:rsidRPr="006F3016" w:rsidRDefault="00811ABF" w:rsidP="006F3016">
      <w:pPr>
        <w:pStyle w:val="BodyText"/>
        <w:ind w:right="534"/>
        <w:rPr>
          <w:rFonts w:ascii="Arial" w:hAnsi="Arial" w:cs="Arial"/>
          <w:color w:val="000000" w:themeColor="text1"/>
        </w:rPr>
      </w:pPr>
    </w:p>
    <w:p w:rsidR="00155AC1" w:rsidRPr="006F3016" w:rsidRDefault="00A44CB1" w:rsidP="006F3016">
      <w:pPr>
        <w:pStyle w:val="BodyText"/>
        <w:ind w:right="534"/>
        <w:rPr>
          <w:rFonts w:ascii="Arial" w:hAnsi="Arial" w:cs="Arial"/>
          <w:color w:val="000000" w:themeColor="text1"/>
        </w:rPr>
      </w:pPr>
      <w:r w:rsidRPr="006F3016">
        <w:rPr>
          <w:rFonts w:ascii="Arial" w:hAnsi="Arial" w:cs="Arial"/>
          <w:color w:val="000000" w:themeColor="text1"/>
        </w:rPr>
        <w:t xml:space="preserve">The University has a Disability and Wellbeing Service and a Counselling Service, both of which are part of our overarching Student Services team.  Relevant policies and contact details are available </w:t>
      </w:r>
      <w:r w:rsidR="000F7D0F">
        <w:rPr>
          <w:rFonts w:ascii="Arial" w:hAnsi="Arial" w:cs="Arial"/>
          <w:color w:val="000000" w:themeColor="text1"/>
        </w:rPr>
        <w:t>from the Head of Student Services.</w:t>
      </w:r>
    </w:p>
    <w:p w:rsidR="001D46E1" w:rsidRPr="006F3016" w:rsidRDefault="001D46E1" w:rsidP="006F3016">
      <w:pPr>
        <w:pStyle w:val="BodyText"/>
        <w:rPr>
          <w:rFonts w:ascii="Arial" w:hAnsi="Arial" w:cs="Arial"/>
          <w:color w:val="000000" w:themeColor="text1"/>
        </w:rPr>
      </w:pPr>
    </w:p>
    <w:p w:rsidR="00A44CB1" w:rsidRDefault="00C2000E" w:rsidP="006F3016">
      <w:pPr>
        <w:pStyle w:val="BodyText"/>
        <w:spacing w:before="20" w:line="259" w:lineRule="auto"/>
        <w:ind w:right="877"/>
        <w:rPr>
          <w:rFonts w:ascii="Arial" w:hAnsi="Arial" w:cs="Arial"/>
        </w:rPr>
      </w:pPr>
      <w:r w:rsidRPr="006F3016">
        <w:rPr>
          <w:rFonts w:ascii="Arial" w:hAnsi="Arial" w:cs="Arial"/>
        </w:rPr>
        <w:t>External providers</w:t>
      </w:r>
      <w:r w:rsidR="00A44CB1" w:rsidRPr="006F3016">
        <w:rPr>
          <w:rFonts w:ascii="Arial" w:hAnsi="Arial" w:cs="Arial"/>
        </w:rPr>
        <w:t xml:space="preserve"> of NMH support</w:t>
      </w:r>
      <w:r w:rsidRPr="006F3016">
        <w:rPr>
          <w:rFonts w:ascii="Arial" w:hAnsi="Arial" w:cs="Arial"/>
        </w:rPr>
        <w:t xml:space="preserve"> are responsible for providing suitable meeting facilities that are comfortable, confidential and take account of the student’s needs. </w:t>
      </w:r>
      <w:r w:rsidR="00A44CB1" w:rsidRPr="006F3016">
        <w:rPr>
          <w:rFonts w:ascii="Arial" w:hAnsi="Arial" w:cs="Arial"/>
        </w:rPr>
        <w:t xml:space="preserve"> B</w:t>
      </w:r>
      <w:r w:rsidRPr="006F3016">
        <w:rPr>
          <w:rFonts w:ascii="Arial" w:hAnsi="Arial" w:cs="Arial"/>
        </w:rPr>
        <w:t xml:space="preserve">ookable meeting rooms </w:t>
      </w:r>
      <w:r w:rsidR="00A44CB1" w:rsidRPr="006F3016">
        <w:rPr>
          <w:rFonts w:ascii="Arial" w:hAnsi="Arial" w:cs="Arial"/>
        </w:rPr>
        <w:t xml:space="preserve">which would be suitable for the delivery of NMH support </w:t>
      </w:r>
      <w:r w:rsidRPr="006F3016">
        <w:rPr>
          <w:rFonts w:ascii="Arial" w:hAnsi="Arial" w:cs="Arial"/>
        </w:rPr>
        <w:t xml:space="preserve">are very limited in availability </w:t>
      </w:r>
      <w:r w:rsidR="00A44CB1" w:rsidRPr="006F3016">
        <w:rPr>
          <w:rFonts w:ascii="Arial" w:hAnsi="Arial" w:cs="Arial"/>
        </w:rPr>
        <w:t xml:space="preserve">at the University, </w:t>
      </w:r>
      <w:r w:rsidRPr="006F3016">
        <w:rPr>
          <w:rFonts w:ascii="Arial" w:hAnsi="Arial" w:cs="Arial"/>
        </w:rPr>
        <w:t>so external providers</w:t>
      </w:r>
      <w:r w:rsidR="000F7D0F">
        <w:rPr>
          <w:rFonts w:ascii="Arial" w:hAnsi="Arial" w:cs="Arial"/>
        </w:rPr>
        <w:t xml:space="preserve"> are</w:t>
      </w:r>
      <w:r w:rsidRPr="006F3016">
        <w:rPr>
          <w:rFonts w:ascii="Arial" w:hAnsi="Arial" w:cs="Arial"/>
        </w:rPr>
        <w:t xml:space="preserve"> expected to make independent arrangements external to the University. </w:t>
      </w:r>
      <w:r w:rsidR="00A44CB1" w:rsidRPr="006F3016">
        <w:rPr>
          <w:rFonts w:ascii="Arial" w:hAnsi="Arial" w:cs="Arial"/>
        </w:rPr>
        <w:t xml:space="preserve"> </w:t>
      </w:r>
    </w:p>
    <w:p w:rsidR="000F7D0F" w:rsidRPr="006F3016" w:rsidRDefault="000F7D0F" w:rsidP="006F3016">
      <w:pPr>
        <w:pStyle w:val="BodyText"/>
        <w:spacing w:before="20" w:line="259" w:lineRule="auto"/>
        <w:ind w:right="877"/>
        <w:rPr>
          <w:rFonts w:ascii="Arial" w:hAnsi="Arial" w:cs="Arial"/>
        </w:rPr>
      </w:pPr>
    </w:p>
    <w:p w:rsidR="00A44CB1" w:rsidRPr="006F3016" w:rsidRDefault="00A44CB1" w:rsidP="006F3016">
      <w:pPr>
        <w:pStyle w:val="BodyText"/>
        <w:spacing w:before="20" w:line="259" w:lineRule="auto"/>
        <w:ind w:right="877"/>
        <w:rPr>
          <w:rFonts w:ascii="Arial" w:hAnsi="Arial" w:cs="Arial"/>
        </w:rPr>
      </w:pPr>
      <w:r w:rsidRPr="006F3016">
        <w:rPr>
          <w:rFonts w:ascii="Arial" w:hAnsi="Arial" w:cs="Arial"/>
        </w:rPr>
        <w:t>If</w:t>
      </w:r>
      <w:r w:rsidR="000F7D0F">
        <w:rPr>
          <w:rFonts w:ascii="Arial" w:hAnsi="Arial" w:cs="Arial"/>
        </w:rPr>
        <w:t>, in exceptional cases,</w:t>
      </w:r>
      <w:r w:rsidRPr="006F3016">
        <w:rPr>
          <w:rFonts w:ascii="Arial" w:hAnsi="Arial" w:cs="Arial"/>
        </w:rPr>
        <w:t xml:space="preserve"> su</w:t>
      </w:r>
      <w:r w:rsidR="000F7D0F">
        <w:rPr>
          <w:rFonts w:ascii="Arial" w:hAnsi="Arial" w:cs="Arial"/>
        </w:rPr>
        <w:t>pport is to be delivered on the AUB campus</w:t>
      </w:r>
      <w:r w:rsidRPr="006F3016">
        <w:rPr>
          <w:rFonts w:ascii="Arial" w:hAnsi="Arial" w:cs="Arial"/>
        </w:rPr>
        <w:t xml:space="preserve">, </w:t>
      </w:r>
      <w:r w:rsidR="007D1723" w:rsidRPr="006F3016">
        <w:rPr>
          <w:rFonts w:ascii="Arial" w:hAnsi="Arial" w:cs="Arial"/>
        </w:rPr>
        <w:t>it is important to note</w:t>
      </w:r>
      <w:r w:rsidRPr="006F3016">
        <w:rPr>
          <w:rFonts w:ascii="Arial" w:hAnsi="Arial" w:cs="Arial"/>
        </w:rPr>
        <w:t xml:space="preserve"> that parking is extremely limited; the University strongly encourages all visitors to use public transport if possible.  </w:t>
      </w:r>
      <w:r w:rsidR="007D1723" w:rsidRPr="006F3016">
        <w:rPr>
          <w:rFonts w:ascii="Arial" w:hAnsi="Arial" w:cs="Arial"/>
        </w:rPr>
        <w:t xml:space="preserve">If a visitor’s parking space is required, this must be booked at least 24 hours in advance (or visitors might be refused entry to the campus).  </w:t>
      </w:r>
    </w:p>
    <w:p w:rsidR="006F3016" w:rsidRDefault="006F3016" w:rsidP="006F3016">
      <w:pPr>
        <w:pStyle w:val="BodyText"/>
        <w:spacing w:before="20" w:line="259" w:lineRule="auto"/>
        <w:ind w:right="149"/>
        <w:rPr>
          <w:rFonts w:ascii="Arial" w:hAnsi="Arial" w:cs="Arial"/>
        </w:rPr>
      </w:pPr>
    </w:p>
    <w:p w:rsidR="001D46E1" w:rsidRPr="006F3016" w:rsidRDefault="009E6276" w:rsidP="006F3016">
      <w:pPr>
        <w:pStyle w:val="BodyText"/>
        <w:spacing w:before="20" w:line="259" w:lineRule="auto"/>
        <w:ind w:right="149"/>
        <w:rPr>
          <w:rFonts w:ascii="Arial" w:hAnsi="Arial" w:cs="Arial"/>
        </w:rPr>
      </w:pPr>
      <w:r w:rsidRPr="006F3016">
        <w:rPr>
          <w:rFonts w:ascii="Arial" w:hAnsi="Arial" w:cs="Arial"/>
        </w:rPr>
        <w:lastRenderedPageBreak/>
        <w:t xml:space="preserve">All visitors to the site, including those providing NMH support, must </w:t>
      </w:r>
      <w:r w:rsidR="00C2000E" w:rsidRPr="006F3016">
        <w:rPr>
          <w:rFonts w:ascii="Arial" w:hAnsi="Arial" w:cs="Arial"/>
        </w:rPr>
        <w:t xml:space="preserve">report to </w:t>
      </w:r>
      <w:r w:rsidRPr="006F3016">
        <w:rPr>
          <w:rFonts w:ascii="Arial" w:hAnsi="Arial" w:cs="Arial"/>
        </w:rPr>
        <w:t xml:space="preserve">Reception on arrival.  Reception will alert Student Services, and the visitor will be met and accompanied to the room.  They will be advised of the fire evacuation process and meeting point; and of how to report any incidents or matters of concern.  </w:t>
      </w:r>
    </w:p>
    <w:p w:rsidR="001D46E1" w:rsidRPr="006F3016" w:rsidRDefault="00C2000E" w:rsidP="006F3016">
      <w:pPr>
        <w:pStyle w:val="BodyText"/>
        <w:spacing w:before="161" w:line="256" w:lineRule="auto"/>
        <w:ind w:right="795"/>
        <w:rPr>
          <w:rFonts w:ascii="Arial" w:hAnsi="Arial" w:cs="Arial"/>
        </w:rPr>
      </w:pPr>
      <w:r w:rsidRPr="006F3016">
        <w:rPr>
          <w:rFonts w:ascii="Arial" w:hAnsi="Arial" w:cs="Arial"/>
        </w:rPr>
        <w:t>Ex</w:t>
      </w:r>
      <w:r w:rsidR="00C2791A">
        <w:rPr>
          <w:rFonts w:ascii="Arial" w:hAnsi="Arial" w:cs="Arial"/>
        </w:rPr>
        <w:t>ternal NMH providers should</w:t>
      </w:r>
      <w:r w:rsidRPr="006F3016">
        <w:rPr>
          <w:rFonts w:ascii="Arial" w:hAnsi="Arial" w:cs="Arial"/>
        </w:rPr>
        <w:t xml:space="preserve"> be mindful of </w:t>
      </w:r>
      <w:r w:rsidR="009E6276" w:rsidRPr="006F3016">
        <w:rPr>
          <w:rFonts w:ascii="Arial" w:hAnsi="Arial" w:cs="Arial"/>
        </w:rPr>
        <w:t>their own safety at all times when on University premises, and should take all reasonable precautions th</w:t>
      </w:r>
      <w:r w:rsidR="000F7D0F">
        <w:rPr>
          <w:rFonts w:ascii="Arial" w:hAnsi="Arial" w:cs="Arial"/>
        </w:rPr>
        <w:t>e</w:t>
      </w:r>
      <w:r w:rsidR="009E6276" w:rsidRPr="006F3016">
        <w:rPr>
          <w:rFonts w:ascii="Arial" w:hAnsi="Arial" w:cs="Arial"/>
        </w:rPr>
        <w:t xml:space="preserve">y consider necessary. </w:t>
      </w:r>
      <w:r w:rsidR="00C2791A">
        <w:rPr>
          <w:rFonts w:ascii="Arial" w:hAnsi="Arial" w:cs="Arial"/>
        </w:rPr>
        <w:t>AUB Security should be contacted in the event of any concern regarding personal safety.</w:t>
      </w:r>
      <w:r w:rsidR="009E6276" w:rsidRPr="006F3016">
        <w:rPr>
          <w:rFonts w:ascii="Arial" w:hAnsi="Arial" w:cs="Arial"/>
        </w:rPr>
        <w:t xml:space="preserve"> </w:t>
      </w:r>
    </w:p>
    <w:p w:rsidR="006F3016" w:rsidRDefault="006F3016" w:rsidP="006F3016">
      <w:pPr>
        <w:pStyle w:val="BodyText"/>
        <w:spacing w:before="31" w:line="259" w:lineRule="auto"/>
        <w:ind w:right="486"/>
        <w:rPr>
          <w:rFonts w:ascii="Arial" w:eastAsia="Calibri Light" w:hAnsi="Arial" w:cs="Arial"/>
          <w:color w:val="2D74B5"/>
        </w:rPr>
      </w:pPr>
    </w:p>
    <w:p w:rsidR="001D46E1" w:rsidRPr="006F3016" w:rsidRDefault="00C2000E" w:rsidP="006F3016">
      <w:pPr>
        <w:pStyle w:val="BodyText"/>
        <w:spacing w:before="31" w:line="259" w:lineRule="auto"/>
        <w:ind w:right="486"/>
        <w:rPr>
          <w:rFonts w:ascii="Arial" w:hAnsi="Arial" w:cs="Arial"/>
        </w:rPr>
      </w:pPr>
      <w:r w:rsidRPr="006F3016">
        <w:rPr>
          <w:rFonts w:ascii="Arial" w:hAnsi="Arial" w:cs="Arial"/>
        </w:rPr>
        <w:t xml:space="preserve">The </w:t>
      </w:r>
      <w:r w:rsidR="000F7D0F">
        <w:rPr>
          <w:rFonts w:ascii="Arial" w:hAnsi="Arial" w:cs="Arial"/>
        </w:rPr>
        <w:t>Senior Disability Officer</w:t>
      </w:r>
      <w:r w:rsidRPr="006F3016">
        <w:rPr>
          <w:rFonts w:ascii="Arial" w:hAnsi="Arial" w:cs="Arial"/>
        </w:rPr>
        <w:t xml:space="preserve"> is the dedicated point of contact for external NMH providers. </w:t>
      </w:r>
    </w:p>
    <w:p w:rsidR="001D46E1" w:rsidRPr="006F3016" w:rsidRDefault="001D46E1" w:rsidP="006F3016">
      <w:pPr>
        <w:pStyle w:val="BodyText"/>
        <w:spacing w:before="5"/>
        <w:rPr>
          <w:rFonts w:ascii="Arial" w:hAnsi="Arial" w:cs="Arial"/>
        </w:rPr>
      </w:pPr>
    </w:p>
    <w:p w:rsidR="001D46E1" w:rsidRPr="006F3016" w:rsidRDefault="00C2000E" w:rsidP="006F3016">
      <w:pPr>
        <w:pStyle w:val="BodyText"/>
        <w:spacing w:before="56"/>
        <w:ind w:right="1155"/>
        <w:rPr>
          <w:rFonts w:ascii="Arial" w:hAnsi="Arial" w:cs="Arial"/>
        </w:rPr>
      </w:pPr>
      <w:r w:rsidRPr="006F3016">
        <w:rPr>
          <w:rFonts w:ascii="Arial" w:hAnsi="Arial" w:cs="Arial"/>
        </w:rPr>
        <w:t>External suppliers must:</w:t>
      </w:r>
    </w:p>
    <w:p w:rsidR="001D46E1" w:rsidRPr="006F3016" w:rsidRDefault="00C2000E" w:rsidP="006F3016">
      <w:pPr>
        <w:pStyle w:val="ListParagraph"/>
        <w:numPr>
          <w:ilvl w:val="0"/>
          <w:numId w:val="1"/>
        </w:numPr>
        <w:ind w:left="567" w:hanging="567"/>
        <w:rPr>
          <w:rFonts w:ascii="Arial" w:hAnsi="Arial" w:cs="Arial"/>
        </w:rPr>
      </w:pPr>
      <w:r w:rsidRPr="006F3016">
        <w:rPr>
          <w:rFonts w:ascii="Arial" w:hAnsi="Arial" w:cs="Arial"/>
        </w:rPr>
        <w:t>inform the University if supplying support to our</w:t>
      </w:r>
      <w:r w:rsidRPr="006F3016">
        <w:rPr>
          <w:rFonts w:ascii="Arial" w:hAnsi="Arial" w:cs="Arial"/>
          <w:spacing w:val="-19"/>
        </w:rPr>
        <w:t xml:space="preserve"> </w:t>
      </w:r>
      <w:r w:rsidRPr="006F3016">
        <w:rPr>
          <w:rFonts w:ascii="Arial" w:hAnsi="Arial" w:cs="Arial"/>
        </w:rPr>
        <w:t>students</w:t>
      </w:r>
    </w:p>
    <w:p w:rsidR="001D46E1" w:rsidRPr="006F3016" w:rsidRDefault="00C2000E" w:rsidP="006F3016">
      <w:pPr>
        <w:pStyle w:val="ListParagraph"/>
        <w:numPr>
          <w:ilvl w:val="0"/>
          <w:numId w:val="1"/>
        </w:numPr>
        <w:spacing w:before="22" w:line="259" w:lineRule="auto"/>
        <w:ind w:left="567" w:right="325" w:hanging="567"/>
        <w:rPr>
          <w:rFonts w:ascii="Arial" w:hAnsi="Arial" w:cs="Arial"/>
        </w:rPr>
      </w:pPr>
      <w:r w:rsidRPr="006F3016">
        <w:rPr>
          <w:rFonts w:ascii="Arial" w:hAnsi="Arial" w:cs="Arial"/>
        </w:rPr>
        <w:t>notify the University of the named person within the organisation (including contact details) with whom we can liaise about any student support queries, and respond promptly to queries or concerns that are raised about student support</w:t>
      </w:r>
      <w:r w:rsidRPr="006F3016">
        <w:rPr>
          <w:rFonts w:ascii="Arial" w:hAnsi="Arial" w:cs="Arial"/>
          <w:spacing w:val="-9"/>
        </w:rPr>
        <w:t xml:space="preserve"> </w:t>
      </w:r>
      <w:r w:rsidRPr="006F3016">
        <w:rPr>
          <w:rFonts w:ascii="Arial" w:hAnsi="Arial" w:cs="Arial"/>
        </w:rPr>
        <w:t>arrangements</w:t>
      </w:r>
    </w:p>
    <w:p w:rsidR="001D46E1" w:rsidRPr="006F3016" w:rsidRDefault="00C2000E" w:rsidP="006F3016">
      <w:pPr>
        <w:pStyle w:val="ListParagraph"/>
        <w:numPr>
          <w:ilvl w:val="0"/>
          <w:numId w:val="1"/>
        </w:numPr>
        <w:ind w:left="567" w:hanging="567"/>
        <w:rPr>
          <w:rFonts w:ascii="Arial" w:hAnsi="Arial" w:cs="Arial"/>
        </w:rPr>
      </w:pPr>
      <w:r w:rsidRPr="006F3016">
        <w:rPr>
          <w:rFonts w:ascii="Arial" w:hAnsi="Arial" w:cs="Arial"/>
        </w:rPr>
        <w:t>provide copies of any relevant policies on</w:t>
      </w:r>
      <w:r w:rsidRPr="006F3016">
        <w:rPr>
          <w:rFonts w:ascii="Arial" w:hAnsi="Arial" w:cs="Arial"/>
          <w:spacing w:val="-13"/>
        </w:rPr>
        <w:t xml:space="preserve"> </w:t>
      </w:r>
      <w:r w:rsidRPr="006F3016">
        <w:rPr>
          <w:rFonts w:ascii="Arial" w:hAnsi="Arial" w:cs="Arial"/>
        </w:rPr>
        <w:t>request</w:t>
      </w:r>
    </w:p>
    <w:p w:rsidR="001D46E1" w:rsidRPr="006F3016" w:rsidRDefault="00C2000E" w:rsidP="006F3016">
      <w:pPr>
        <w:pStyle w:val="ListParagraph"/>
        <w:numPr>
          <w:ilvl w:val="0"/>
          <w:numId w:val="1"/>
        </w:numPr>
        <w:spacing w:before="19" w:line="259" w:lineRule="auto"/>
        <w:ind w:left="567" w:right="136" w:hanging="567"/>
        <w:jc w:val="both"/>
        <w:rPr>
          <w:rFonts w:ascii="Arial" w:hAnsi="Arial" w:cs="Arial"/>
        </w:rPr>
      </w:pPr>
      <w:r w:rsidRPr="006F3016">
        <w:rPr>
          <w:rFonts w:ascii="Arial" w:hAnsi="Arial" w:cs="Arial"/>
        </w:rPr>
        <w:t>ensure funding is in place before commencing sessions with a student, monitor the use of the allocated hours, and ensure that students do not run out of funding (</w:t>
      </w:r>
      <w:r w:rsidR="006F3016" w:rsidRPr="006F3016">
        <w:rPr>
          <w:rFonts w:ascii="Arial" w:hAnsi="Arial" w:cs="Arial"/>
        </w:rPr>
        <w:t>AUB</w:t>
      </w:r>
      <w:r w:rsidRPr="006F3016">
        <w:rPr>
          <w:rFonts w:ascii="Arial" w:hAnsi="Arial" w:cs="Arial"/>
        </w:rPr>
        <w:t xml:space="preserve"> is not accountable for any payments that SFE refuse to</w:t>
      </w:r>
      <w:r w:rsidRPr="006F3016">
        <w:rPr>
          <w:rFonts w:ascii="Arial" w:hAnsi="Arial" w:cs="Arial"/>
          <w:spacing w:val="-5"/>
        </w:rPr>
        <w:t xml:space="preserve"> </w:t>
      </w:r>
      <w:r w:rsidRPr="006F3016">
        <w:rPr>
          <w:rFonts w:ascii="Arial" w:hAnsi="Arial" w:cs="Arial"/>
        </w:rPr>
        <w:t>pay)</w:t>
      </w:r>
    </w:p>
    <w:p w:rsidR="001D46E1" w:rsidRPr="006F3016" w:rsidRDefault="00C2000E" w:rsidP="006F3016">
      <w:pPr>
        <w:pStyle w:val="ListParagraph"/>
        <w:numPr>
          <w:ilvl w:val="0"/>
          <w:numId w:val="1"/>
        </w:numPr>
        <w:spacing w:line="279" w:lineRule="exact"/>
        <w:ind w:left="567" w:hanging="567"/>
        <w:rPr>
          <w:rFonts w:ascii="Arial" w:hAnsi="Arial" w:cs="Arial"/>
        </w:rPr>
      </w:pPr>
      <w:r w:rsidRPr="006F3016">
        <w:rPr>
          <w:rFonts w:ascii="Arial" w:hAnsi="Arial" w:cs="Arial"/>
        </w:rPr>
        <w:t>arrange suitable meeting rooms for support</w:t>
      </w:r>
      <w:r w:rsidRPr="006F3016">
        <w:rPr>
          <w:rFonts w:ascii="Arial" w:hAnsi="Arial" w:cs="Arial"/>
          <w:spacing w:val="-19"/>
        </w:rPr>
        <w:t xml:space="preserve"> </w:t>
      </w:r>
      <w:r w:rsidRPr="006F3016">
        <w:rPr>
          <w:rFonts w:ascii="Arial" w:hAnsi="Arial" w:cs="Arial"/>
        </w:rPr>
        <w:t>sessions</w:t>
      </w:r>
    </w:p>
    <w:p w:rsidR="001D46E1" w:rsidRPr="006F3016" w:rsidRDefault="00C2000E" w:rsidP="006F3016">
      <w:pPr>
        <w:pStyle w:val="ListParagraph"/>
        <w:numPr>
          <w:ilvl w:val="0"/>
          <w:numId w:val="1"/>
        </w:numPr>
        <w:spacing w:before="22" w:line="259" w:lineRule="auto"/>
        <w:ind w:left="567" w:right="98" w:hanging="567"/>
        <w:rPr>
          <w:rFonts w:ascii="Arial" w:hAnsi="Arial" w:cs="Arial"/>
        </w:rPr>
      </w:pPr>
      <w:r w:rsidRPr="006F3016">
        <w:rPr>
          <w:rFonts w:ascii="Arial" w:hAnsi="Arial" w:cs="Arial"/>
        </w:rPr>
        <w:t xml:space="preserve">signpost students back to </w:t>
      </w:r>
      <w:r w:rsidR="006F3016" w:rsidRPr="006F3016">
        <w:rPr>
          <w:rFonts w:ascii="Arial" w:hAnsi="Arial" w:cs="Arial"/>
        </w:rPr>
        <w:t xml:space="preserve">the Disability and Wellbeing Service </w:t>
      </w:r>
      <w:r w:rsidRPr="006F3016">
        <w:rPr>
          <w:rFonts w:ascii="Arial" w:hAnsi="Arial" w:cs="Arial"/>
        </w:rPr>
        <w:t xml:space="preserve">or </w:t>
      </w:r>
      <w:r w:rsidR="006F3016" w:rsidRPr="006F3016">
        <w:rPr>
          <w:rFonts w:ascii="Arial" w:hAnsi="Arial" w:cs="Arial"/>
        </w:rPr>
        <w:t>course tutor</w:t>
      </w:r>
      <w:r w:rsidR="000F7D0F">
        <w:rPr>
          <w:rFonts w:ascii="Arial" w:hAnsi="Arial" w:cs="Arial"/>
        </w:rPr>
        <w:t>s</w:t>
      </w:r>
      <w:r w:rsidR="006F3016" w:rsidRPr="006F3016">
        <w:rPr>
          <w:rFonts w:ascii="Arial" w:hAnsi="Arial" w:cs="Arial"/>
        </w:rPr>
        <w:t xml:space="preserve"> </w:t>
      </w:r>
      <w:r w:rsidRPr="006F3016">
        <w:rPr>
          <w:rFonts w:ascii="Arial" w:hAnsi="Arial" w:cs="Arial"/>
        </w:rPr>
        <w:t>to discuss any issues relating to University services or their</w:t>
      </w:r>
      <w:r w:rsidRPr="006F3016">
        <w:rPr>
          <w:rFonts w:ascii="Arial" w:hAnsi="Arial" w:cs="Arial"/>
          <w:spacing w:val="-5"/>
        </w:rPr>
        <w:t xml:space="preserve"> </w:t>
      </w:r>
      <w:r w:rsidRPr="006F3016">
        <w:rPr>
          <w:rFonts w:ascii="Arial" w:hAnsi="Arial" w:cs="Arial"/>
        </w:rPr>
        <w:t>course</w:t>
      </w:r>
    </w:p>
    <w:p w:rsidR="001D46E1" w:rsidRPr="006F3016" w:rsidRDefault="00C2000E" w:rsidP="006F3016">
      <w:pPr>
        <w:pStyle w:val="ListParagraph"/>
        <w:numPr>
          <w:ilvl w:val="0"/>
          <w:numId w:val="1"/>
        </w:numPr>
        <w:spacing w:line="259" w:lineRule="auto"/>
        <w:ind w:left="567" w:right="373" w:hanging="567"/>
        <w:rPr>
          <w:rFonts w:ascii="Arial" w:hAnsi="Arial" w:cs="Arial"/>
        </w:rPr>
      </w:pPr>
      <w:r w:rsidRPr="006F3016">
        <w:rPr>
          <w:rFonts w:ascii="Arial" w:hAnsi="Arial" w:cs="Arial"/>
        </w:rPr>
        <w:t xml:space="preserve">contact the </w:t>
      </w:r>
      <w:r w:rsidR="006F3016" w:rsidRPr="006F3016">
        <w:rPr>
          <w:rFonts w:ascii="Arial" w:hAnsi="Arial" w:cs="Arial"/>
        </w:rPr>
        <w:t>Disability and Wellbeing Service</w:t>
      </w:r>
      <w:r w:rsidRPr="006F3016">
        <w:rPr>
          <w:rFonts w:ascii="Arial" w:hAnsi="Arial" w:cs="Arial"/>
        </w:rPr>
        <w:t xml:space="preserve"> immediately if any concerns arise relating to engagement with the support, welfare, safety/security, or academic progression so that this can be followed up in a timely</w:t>
      </w:r>
      <w:r w:rsidRPr="006F3016">
        <w:rPr>
          <w:rFonts w:ascii="Arial" w:hAnsi="Arial" w:cs="Arial"/>
          <w:spacing w:val="-26"/>
        </w:rPr>
        <w:t xml:space="preserve"> </w:t>
      </w:r>
      <w:r w:rsidRPr="006F3016">
        <w:rPr>
          <w:rFonts w:ascii="Arial" w:hAnsi="Arial" w:cs="Arial"/>
        </w:rPr>
        <w:t>manner</w:t>
      </w:r>
    </w:p>
    <w:p w:rsidR="001D46E1" w:rsidRPr="006F3016" w:rsidRDefault="00C2000E" w:rsidP="006F3016">
      <w:pPr>
        <w:pStyle w:val="ListParagraph"/>
        <w:numPr>
          <w:ilvl w:val="0"/>
          <w:numId w:val="1"/>
        </w:numPr>
        <w:spacing w:line="259" w:lineRule="auto"/>
        <w:ind w:left="567" w:right="385" w:hanging="567"/>
        <w:rPr>
          <w:rFonts w:ascii="Arial" w:hAnsi="Arial" w:cs="Arial"/>
        </w:rPr>
      </w:pPr>
      <w:r w:rsidRPr="006F3016">
        <w:rPr>
          <w:rFonts w:ascii="Arial" w:hAnsi="Arial" w:cs="Arial"/>
        </w:rPr>
        <w:t>provide a summary report for each student receiving band 4 support at the end of each term (end of December, March, and June), to</w:t>
      </w:r>
      <w:r w:rsidRPr="006F3016">
        <w:rPr>
          <w:rFonts w:ascii="Arial" w:hAnsi="Arial" w:cs="Arial"/>
          <w:spacing w:val="-9"/>
        </w:rPr>
        <w:t xml:space="preserve"> </w:t>
      </w:r>
      <w:r w:rsidRPr="006F3016">
        <w:rPr>
          <w:rFonts w:ascii="Arial" w:hAnsi="Arial" w:cs="Arial"/>
        </w:rPr>
        <w:t>include:</w:t>
      </w:r>
    </w:p>
    <w:p w:rsidR="001D46E1" w:rsidRPr="006F3016" w:rsidRDefault="00C2000E" w:rsidP="006F3016">
      <w:pPr>
        <w:pStyle w:val="ListParagraph"/>
        <w:numPr>
          <w:ilvl w:val="1"/>
          <w:numId w:val="2"/>
        </w:numPr>
        <w:spacing w:line="273" w:lineRule="exact"/>
        <w:ind w:left="993" w:hanging="426"/>
        <w:rPr>
          <w:rFonts w:ascii="Arial" w:hAnsi="Arial" w:cs="Arial"/>
        </w:rPr>
      </w:pPr>
      <w:r w:rsidRPr="006F3016">
        <w:rPr>
          <w:rFonts w:ascii="Arial" w:hAnsi="Arial" w:cs="Arial"/>
        </w:rPr>
        <w:t>name of student(s) and CRN</w:t>
      </w:r>
      <w:r w:rsidRPr="006F3016">
        <w:rPr>
          <w:rFonts w:ascii="Arial" w:hAnsi="Arial" w:cs="Arial"/>
          <w:spacing w:val="-6"/>
        </w:rPr>
        <w:t xml:space="preserve"> </w:t>
      </w:r>
      <w:r w:rsidRPr="006F3016">
        <w:rPr>
          <w:rFonts w:ascii="Arial" w:hAnsi="Arial" w:cs="Arial"/>
        </w:rPr>
        <w:t>number</w:t>
      </w:r>
    </w:p>
    <w:p w:rsidR="001D46E1" w:rsidRPr="006F3016" w:rsidRDefault="00C2000E" w:rsidP="006F3016">
      <w:pPr>
        <w:pStyle w:val="ListParagraph"/>
        <w:numPr>
          <w:ilvl w:val="1"/>
          <w:numId w:val="2"/>
        </w:numPr>
        <w:spacing w:before="15"/>
        <w:ind w:left="993" w:hanging="426"/>
        <w:rPr>
          <w:rFonts w:ascii="Arial" w:hAnsi="Arial" w:cs="Arial"/>
        </w:rPr>
      </w:pPr>
      <w:r w:rsidRPr="006F3016">
        <w:rPr>
          <w:rFonts w:ascii="Arial" w:hAnsi="Arial" w:cs="Arial"/>
        </w:rPr>
        <w:t>name of support</w:t>
      </w:r>
      <w:r w:rsidRPr="006F3016">
        <w:rPr>
          <w:rFonts w:ascii="Arial" w:hAnsi="Arial" w:cs="Arial"/>
          <w:spacing w:val="-10"/>
        </w:rPr>
        <w:t xml:space="preserve"> </w:t>
      </w:r>
      <w:r w:rsidRPr="006F3016">
        <w:rPr>
          <w:rFonts w:ascii="Arial" w:hAnsi="Arial" w:cs="Arial"/>
        </w:rPr>
        <w:t>workers(s)</w:t>
      </w:r>
    </w:p>
    <w:p w:rsidR="001D46E1" w:rsidRPr="006F3016" w:rsidRDefault="00C2000E" w:rsidP="006F3016">
      <w:pPr>
        <w:pStyle w:val="ListParagraph"/>
        <w:numPr>
          <w:ilvl w:val="1"/>
          <w:numId w:val="2"/>
        </w:numPr>
        <w:spacing w:before="15"/>
        <w:ind w:left="993" w:hanging="426"/>
        <w:rPr>
          <w:rFonts w:ascii="Arial" w:hAnsi="Arial" w:cs="Arial"/>
        </w:rPr>
      </w:pPr>
      <w:r w:rsidRPr="006F3016">
        <w:rPr>
          <w:rFonts w:ascii="Arial" w:hAnsi="Arial" w:cs="Arial"/>
        </w:rPr>
        <w:t>brief description of support</w:t>
      </w:r>
      <w:r w:rsidRPr="006F3016">
        <w:rPr>
          <w:rFonts w:ascii="Arial" w:hAnsi="Arial" w:cs="Arial"/>
          <w:spacing w:val="-17"/>
        </w:rPr>
        <w:t xml:space="preserve"> </w:t>
      </w:r>
      <w:r w:rsidRPr="006F3016">
        <w:rPr>
          <w:rFonts w:ascii="Arial" w:hAnsi="Arial" w:cs="Arial"/>
        </w:rPr>
        <w:t>supplied</w:t>
      </w:r>
    </w:p>
    <w:p w:rsidR="001D46E1" w:rsidRPr="006F3016" w:rsidRDefault="00C2000E" w:rsidP="006F3016">
      <w:pPr>
        <w:pStyle w:val="ListParagraph"/>
        <w:numPr>
          <w:ilvl w:val="1"/>
          <w:numId w:val="2"/>
        </w:numPr>
        <w:spacing w:before="15"/>
        <w:ind w:left="993" w:hanging="426"/>
        <w:rPr>
          <w:rFonts w:ascii="Arial" w:hAnsi="Arial" w:cs="Arial"/>
        </w:rPr>
      </w:pPr>
      <w:r w:rsidRPr="006F3016">
        <w:rPr>
          <w:rFonts w:ascii="Arial" w:hAnsi="Arial" w:cs="Arial"/>
        </w:rPr>
        <w:t>date on which support</w:t>
      </w:r>
      <w:r w:rsidRPr="006F3016">
        <w:rPr>
          <w:rFonts w:ascii="Arial" w:hAnsi="Arial" w:cs="Arial"/>
          <w:spacing w:val="-12"/>
        </w:rPr>
        <w:t xml:space="preserve"> </w:t>
      </w:r>
      <w:r w:rsidRPr="006F3016">
        <w:rPr>
          <w:rFonts w:ascii="Arial" w:hAnsi="Arial" w:cs="Arial"/>
        </w:rPr>
        <w:t>commenced</w:t>
      </w:r>
    </w:p>
    <w:p w:rsidR="001D46E1" w:rsidRPr="006F3016" w:rsidRDefault="00C2000E" w:rsidP="006F3016">
      <w:pPr>
        <w:pStyle w:val="ListParagraph"/>
        <w:numPr>
          <w:ilvl w:val="1"/>
          <w:numId w:val="2"/>
        </w:numPr>
        <w:spacing w:before="12"/>
        <w:ind w:left="993" w:hanging="426"/>
        <w:rPr>
          <w:rFonts w:ascii="Arial" w:hAnsi="Arial" w:cs="Arial"/>
        </w:rPr>
      </w:pPr>
      <w:r w:rsidRPr="006F3016">
        <w:rPr>
          <w:rFonts w:ascii="Arial" w:hAnsi="Arial" w:cs="Arial"/>
        </w:rPr>
        <w:t>number of sessions/hours of support delivered that term, and total for the year to</w:t>
      </w:r>
      <w:r w:rsidRPr="006F3016">
        <w:rPr>
          <w:rFonts w:ascii="Arial" w:hAnsi="Arial" w:cs="Arial"/>
          <w:spacing w:val="-32"/>
        </w:rPr>
        <w:t xml:space="preserve"> </w:t>
      </w:r>
      <w:r w:rsidRPr="006F3016">
        <w:rPr>
          <w:rFonts w:ascii="Arial" w:hAnsi="Arial" w:cs="Arial"/>
        </w:rPr>
        <w:t>date</w:t>
      </w:r>
    </w:p>
    <w:p w:rsidR="001D46E1" w:rsidRPr="006F3016" w:rsidRDefault="00C2000E" w:rsidP="006F3016">
      <w:pPr>
        <w:pStyle w:val="ListParagraph"/>
        <w:numPr>
          <w:ilvl w:val="1"/>
          <w:numId w:val="2"/>
        </w:numPr>
        <w:spacing w:before="15"/>
        <w:ind w:left="993" w:hanging="426"/>
        <w:rPr>
          <w:rFonts w:ascii="Arial" w:hAnsi="Arial" w:cs="Arial"/>
        </w:rPr>
      </w:pPr>
      <w:r w:rsidRPr="006F3016">
        <w:rPr>
          <w:rFonts w:ascii="Arial" w:hAnsi="Arial" w:cs="Arial"/>
        </w:rPr>
        <w:t>location of support</w:t>
      </w:r>
      <w:r w:rsidRPr="006F3016">
        <w:rPr>
          <w:rFonts w:ascii="Arial" w:hAnsi="Arial" w:cs="Arial"/>
          <w:spacing w:val="-9"/>
        </w:rPr>
        <w:t xml:space="preserve"> </w:t>
      </w:r>
      <w:r w:rsidRPr="006F3016">
        <w:rPr>
          <w:rFonts w:ascii="Arial" w:hAnsi="Arial" w:cs="Arial"/>
        </w:rPr>
        <w:t>provision</w:t>
      </w:r>
    </w:p>
    <w:p w:rsidR="001D46E1" w:rsidRDefault="00C2000E" w:rsidP="006F3016">
      <w:pPr>
        <w:pStyle w:val="ListParagraph"/>
        <w:numPr>
          <w:ilvl w:val="1"/>
          <w:numId w:val="2"/>
        </w:numPr>
        <w:spacing w:before="63"/>
        <w:ind w:left="993" w:right="735" w:hanging="426"/>
        <w:rPr>
          <w:rFonts w:ascii="Arial" w:hAnsi="Arial" w:cs="Arial"/>
        </w:rPr>
      </w:pPr>
      <w:r w:rsidRPr="006F3016">
        <w:rPr>
          <w:rFonts w:ascii="Arial" w:hAnsi="Arial" w:cs="Arial"/>
        </w:rPr>
        <w:t>a note about any issues that the Universit</w:t>
      </w:r>
      <w:r w:rsidR="006F3016" w:rsidRPr="006F3016">
        <w:rPr>
          <w:rFonts w:ascii="Arial" w:hAnsi="Arial" w:cs="Arial"/>
        </w:rPr>
        <w:t>y needs to be aware of or follow up.</w:t>
      </w:r>
    </w:p>
    <w:p w:rsidR="000F7D0F" w:rsidRDefault="000F7D0F" w:rsidP="000F7D0F">
      <w:pPr>
        <w:spacing w:before="63"/>
        <w:ind w:right="735"/>
        <w:rPr>
          <w:rFonts w:ascii="Arial" w:hAnsi="Arial" w:cs="Arial"/>
        </w:rPr>
      </w:pPr>
    </w:p>
    <w:p w:rsidR="000F7D0F" w:rsidRDefault="000F7D0F" w:rsidP="000F7D0F">
      <w:pPr>
        <w:spacing w:before="63"/>
        <w:ind w:right="735"/>
        <w:rPr>
          <w:rFonts w:ascii="Arial" w:hAnsi="Arial" w:cs="Arial"/>
        </w:rPr>
      </w:pPr>
    </w:p>
    <w:p w:rsidR="000F7D0F" w:rsidRPr="00C2791A" w:rsidRDefault="000F7D0F" w:rsidP="000F7D0F">
      <w:pPr>
        <w:spacing w:before="63"/>
        <w:ind w:right="735"/>
        <w:rPr>
          <w:rFonts w:ascii="Arial" w:hAnsi="Arial" w:cs="Arial"/>
          <w:b/>
        </w:rPr>
      </w:pPr>
      <w:r w:rsidRPr="00C2791A">
        <w:rPr>
          <w:rFonts w:ascii="Arial" w:hAnsi="Arial" w:cs="Arial"/>
          <w:b/>
        </w:rPr>
        <w:t>AUB contact numbers:</w:t>
      </w:r>
    </w:p>
    <w:p w:rsidR="000F7D0F" w:rsidRDefault="000F7D0F" w:rsidP="000F7D0F">
      <w:pPr>
        <w:spacing w:before="63"/>
        <w:ind w:right="735"/>
        <w:rPr>
          <w:rFonts w:ascii="Arial" w:hAnsi="Arial" w:cs="Arial"/>
        </w:rPr>
      </w:pPr>
      <w:r>
        <w:rPr>
          <w:rFonts w:ascii="Arial" w:hAnsi="Arial" w:cs="Arial"/>
        </w:rPr>
        <w:t xml:space="preserve">Emergency First Aid: </w:t>
      </w:r>
      <w:r w:rsidRPr="000F7D0F">
        <w:rPr>
          <w:rFonts w:ascii="Arial" w:hAnsi="Arial" w:cs="Arial"/>
        </w:rPr>
        <w:t>01202 363728</w:t>
      </w:r>
    </w:p>
    <w:p w:rsidR="00C2791A" w:rsidRDefault="00C2791A" w:rsidP="000F7D0F">
      <w:pPr>
        <w:spacing w:before="63"/>
        <w:ind w:right="735"/>
        <w:rPr>
          <w:rFonts w:ascii="Arial" w:hAnsi="Arial" w:cs="Arial"/>
        </w:rPr>
      </w:pPr>
      <w:r>
        <w:rPr>
          <w:rFonts w:ascii="Arial" w:hAnsi="Arial" w:cs="Arial"/>
        </w:rPr>
        <w:t>AUB Security: 01202 363201</w:t>
      </w:r>
    </w:p>
    <w:p w:rsidR="00C2791A" w:rsidRDefault="00C2791A" w:rsidP="000F7D0F">
      <w:pPr>
        <w:spacing w:before="63"/>
        <w:ind w:right="735"/>
        <w:rPr>
          <w:rFonts w:ascii="Arial" w:hAnsi="Arial" w:cs="Arial"/>
        </w:rPr>
      </w:pPr>
    </w:p>
    <w:p w:rsidR="00C2791A" w:rsidRDefault="00C2791A" w:rsidP="000F7D0F">
      <w:pPr>
        <w:spacing w:before="63"/>
        <w:ind w:right="735"/>
        <w:rPr>
          <w:rFonts w:ascii="Arial" w:hAnsi="Arial" w:cs="Arial"/>
        </w:rPr>
      </w:pPr>
      <w:r>
        <w:rPr>
          <w:rFonts w:ascii="Arial" w:hAnsi="Arial" w:cs="Arial"/>
        </w:rPr>
        <w:t xml:space="preserve">Barry Gilbert, Senior Disability Officer: 01202 363291; email </w:t>
      </w:r>
      <w:hyperlink r:id="rId8" w:history="1">
        <w:r w:rsidRPr="00FD3A9B">
          <w:rPr>
            <w:rStyle w:val="Hyperlink"/>
            <w:rFonts w:ascii="Arial" w:hAnsi="Arial" w:cs="Arial"/>
          </w:rPr>
          <w:t>wellbeing@aub.ac.uk</w:t>
        </w:r>
      </w:hyperlink>
    </w:p>
    <w:p w:rsidR="00C2791A" w:rsidRPr="000F7D0F" w:rsidRDefault="00C2791A" w:rsidP="000F7D0F">
      <w:pPr>
        <w:spacing w:before="63"/>
        <w:ind w:right="735"/>
        <w:rPr>
          <w:rFonts w:ascii="Arial" w:hAnsi="Arial" w:cs="Arial"/>
        </w:rPr>
      </w:pPr>
      <w:r>
        <w:rPr>
          <w:rFonts w:ascii="Arial" w:hAnsi="Arial" w:cs="Arial"/>
        </w:rPr>
        <w:t xml:space="preserve">Heidi Cooper-Hind, Head of Student Services: 01202 363220; email </w:t>
      </w:r>
      <w:hyperlink r:id="rId9" w:history="1">
        <w:r w:rsidRPr="00FD3A9B">
          <w:rPr>
            <w:rStyle w:val="Hyperlink"/>
            <w:rFonts w:ascii="Arial" w:hAnsi="Arial" w:cs="Arial"/>
          </w:rPr>
          <w:t>hcooperhind@aub.ac.uk</w:t>
        </w:r>
      </w:hyperlink>
      <w:r>
        <w:rPr>
          <w:rFonts w:ascii="Arial" w:hAnsi="Arial" w:cs="Arial"/>
        </w:rPr>
        <w:t xml:space="preserve"> </w:t>
      </w:r>
    </w:p>
    <w:sectPr w:rsidR="00C2791A" w:rsidRPr="000F7D0F" w:rsidSect="006F3016">
      <w:footerReference w:type="default" r:id="rId10"/>
      <w:pgSz w:w="11910" w:h="16840"/>
      <w:pgMar w:top="1440" w:right="1440" w:bottom="1440" w:left="1440" w:header="0" w:footer="9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C1A" w:rsidRDefault="001E1C1A">
      <w:r>
        <w:separator/>
      </w:r>
    </w:p>
  </w:endnote>
  <w:endnote w:type="continuationSeparator" w:id="0">
    <w:p w:rsidR="001E1C1A" w:rsidRDefault="001E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E1" w:rsidRDefault="00C2791A">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9930765</wp:posOffset>
              </wp:positionV>
              <wp:extent cx="114935" cy="152400"/>
              <wp:effectExtent l="0" t="0" r="6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6E1" w:rsidRDefault="00C2000E">
                          <w:pPr>
                            <w:spacing w:line="223" w:lineRule="exact"/>
                            <w:ind w:left="40"/>
                            <w:rPr>
                              <w:sz w:val="20"/>
                            </w:rPr>
                          </w:pPr>
                          <w:r>
                            <w:fldChar w:fldCharType="begin"/>
                          </w:r>
                          <w:r>
                            <w:rPr>
                              <w:w w:val="99"/>
                              <w:sz w:val="20"/>
                            </w:rPr>
                            <w:instrText xml:space="preserve"> PAGE </w:instrText>
                          </w:r>
                          <w:r>
                            <w:fldChar w:fldCharType="separate"/>
                          </w:r>
                          <w:r w:rsidR="00C2791A">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81.95pt;width:9.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" filled="f" stroked="f">
              <v:textbox inset="0,0,0,0">
                <w:txbxContent>
                  <w:p w:rsidR="001D46E1" w:rsidRDefault="00C2000E">
                    <w:pPr>
                      <w:spacing w:line="223" w:lineRule="exact"/>
                      <w:ind w:left="40"/>
                      <w:rPr>
                        <w:sz w:val="20"/>
                      </w:rPr>
                    </w:pPr>
                    <w:r>
                      <w:fldChar w:fldCharType="begin"/>
                    </w:r>
                    <w:r>
                      <w:rPr>
                        <w:w w:val="99"/>
                        <w:sz w:val="20"/>
                      </w:rPr>
                      <w:instrText xml:space="preserve"> PAGE </w:instrText>
                    </w:r>
                    <w:r>
                      <w:fldChar w:fldCharType="separate"/>
                    </w:r>
                    <w:r w:rsidR="00C2791A">
                      <w:rPr>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C1A" w:rsidRDefault="001E1C1A">
      <w:r>
        <w:separator/>
      </w:r>
    </w:p>
  </w:footnote>
  <w:footnote w:type="continuationSeparator" w:id="0">
    <w:p w:rsidR="001E1C1A" w:rsidRDefault="001E1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B67A8"/>
    <w:multiLevelType w:val="hybridMultilevel"/>
    <w:tmpl w:val="AF3AE9FA"/>
    <w:lvl w:ilvl="0" w:tplc="D5720770">
      <w:start w:val="1"/>
      <w:numFmt w:val="bullet"/>
      <w:lvlText w:val=""/>
      <w:lvlJc w:val="left"/>
      <w:pPr>
        <w:ind w:left="473" w:hanging="361"/>
      </w:pPr>
      <w:rPr>
        <w:rFonts w:ascii="Symbol" w:eastAsia="Symbol" w:hAnsi="Symbol" w:cs="Symbol" w:hint="default"/>
        <w:w w:val="100"/>
        <w:sz w:val="22"/>
        <w:szCs w:val="22"/>
      </w:rPr>
    </w:lvl>
    <w:lvl w:ilvl="1" w:tplc="A1ACC1DA">
      <w:start w:val="1"/>
      <w:numFmt w:val="bullet"/>
      <w:lvlText w:val="o"/>
      <w:lvlJc w:val="left"/>
      <w:pPr>
        <w:ind w:left="1193" w:hanging="360"/>
      </w:pPr>
      <w:rPr>
        <w:rFonts w:ascii="Courier New" w:eastAsia="Courier New" w:hAnsi="Courier New" w:cs="Courier New" w:hint="default"/>
        <w:w w:val="100"/>
        <w:sz w:val="22"/>
        <w:szCs w:val="22"/>
      </w:rPr>
    </w:lvl>
    <w:lvl w:ilvl="2" w:tplc="5DC4987E">
      <w:start w:val="1"/>
      <w:numFmt w:val="bullet"/>
      <w:lvlText w:val="•"/>
      <w:lvlJc w:val="left"/>
      <w:pPr>
        <w:ind w:left="2160" w:hanging="360"/>
      </w:pPr>
      <w:rPr>
        <w:rFonts w:hint="default"/>
      </w:rPr>
    </w:lvl>
    <w:lvl w:ilvl="3" w:tplc="9DD20F54">
      <w:start w:val="1"/>
      <w:numFmt w:val="bullet"/>
      <w:lvlText w:val="•"/>
      <w:lvlJc w:val="left"/>
      <w:pPr>
        <w:ind w:left="3121" w:hanging="360"/>
      </w:pPr>
      <w:rPr>
        <w:rFonts w:hint="default"/>
      </w:rPr>
    </w:lvl>
    <w:lvl w:ilvl="4" w:tplc="664E4FAA">
      <w:start w:val="1"/>
      <w:numFmt w:val="bullet"/>
      <w:lvlText w:val="•"/>
      <w:lvlJc w:val="left"/>
      <w:pPr>
        <w:ind w:left="4082" w:hanging="360"/>
      </w:pPr>
      <w:rPr>
        <w:rFonts w:hint="default"/>
      </w:rPr>
    </w:lvl>
    <w:lvl w:ilvl="5" w:tplc="C71CF91A">
      <w:start w:val="1"/>
      <w:numFmt w:val="bullet"/>
      <w:lvlText w:val="•"/>
      <w:lvlJc w:val="left"/>
      <w:pPr>
        <w:ind w:left="5042" w:hanging="360"/>
      </w:pPr>
      <w:rPr>
        <w:rFonts w:hint="default"/>
      </w:rPr>
    </w:lvl>
    <w:lvl w:ilvl="6" w:tplc="1296604A">
      <w:start w:val="1"/>
      <w:numFmt w:val="bullet"/>
      <w:lvlText w:val="•"/>
      <w:lvlJc w:val="left"/>
      <w:pPr>
        <w:ind w:left="6003" w:hanging="360"/>
      </w:pPr>
      <w:rPr>
        <w:rFonts w:hint="default"/>
      </w:rPr>
    </w:lvl>
    <w:lvl w:ilvl="7" w:tplc="75B28DF0">
      <w:start w:val="1"/>
      <w:numFmt w:val="bullet"/>
      <w:lvlText w:val="•"/>
      <w:lvlJc w:val="left"/>
      <w:pPr>
        <w:ind w:left="6964" w:hanging="360"/>
      </w:pPr>
      <w:rPr>
        <w:rFonts w:hint="default"/>
      </w:rPr>
    </w:lvl>
    <w:lvl w:ilvl="8" w:tplc="AF389122">
      <w:start w:val="1"/>
      <w:numFmt w:val="bullet"/>
      <w:lvlText w:val="•"/>
      <w:lvlJc w:val="left"/>
      <w:pPr>
        <w:ind w:left="7924" w:hanging="360"/>
      </w:pPr>
      <w:rPr>
        <w:rFonts w:hint="default"/>
      </w:rPr>
    </w:lvl>
  </w:abstractNum>
  <w:abstractNum w:abstractNumId="1" w15:restartNumberingAfterBreak="0">
    <w:nsid w:val="516B319B"/>
    <w:multiLevelType w:val="hybridMultilevel"/>
    <w:tmpl w:val="980A376E"/>
    <w:lvl w:ilvl="0" w:tplc="D5720770">
      <w:start w:val="1"/>
      <w:numFmt w:val="bullet"/>
      <w:lvlText w:val=""/>
      <w:lvlJc w:val="left"/>
      <w:pPr>
        <w:ind w:left="473" w:hanging="361"/>
      </w:pPr>
      <w:rPr>
        <w:rFonts w:ascii="Symbol" w:eastAsia="Symbol" w:hAnsi="Symbol" w:cs="Symbol" w:hint="default"/>
        <w:w w:val="100"/>
        <w:sz w:val="22"/>
        <w:szCs w:val="22"/>
      </w:rPr>
    </w:lvl>
    <w:lvl w:ilvl="1" w:tplc="9E6C43F6">
      <w:start w:val="1"/>
      <w:numFmt w:val="bullet"/>
      <w:lvlText w:val="­"/>
      <w:lvlJc w:val="left"/>
      <w:pPr>
        <w:ind w:left="1193" w:hanging="360"/>
      </w:pPr>
      <w:rPr>
        <w:rFonts w:ascii="Courier New" w:eastAsia="Courier New" w:hAnsi="Courier New" w:hint="default"/>
        <w:w w:val="100"/>
        <w:sz w:val="22"/>
        <w:szCs w:val="22"/>
      </w:rPr>
    </w:lvl>
    <w:lvl w:ilvl="2" w:tplc="5DC4987E">
      <w:start w:val="1"/>
      <w:numFmt w:val="bullet"/>
      <w:lvlText w:val="•"/>
      <w:lvlJc w:val="left"/>
      <w:pPr>
        <w:ind w:left="2160" w:hanging="360"/>
      </w:pPr>
      <w:rPr>
        <w:rFonts w:hint="default"/>
      </w:rPr>
    </w:lvl>
    <w:lvl w:ilvl="3" w:tplc="9DD20F54">
      <w:start w:val="1"/>
      <w:numFmt w:val="bullet"/>
      <w:lvlText w:val="•"/>
      <w:lvlJc w:val="left"/>
      <w:pPr>
        <w:ind w:left="3121" w:hanging="360"/>
      </w:pPr>
      <w:rPr>
        <w:rFonts w:hint="default"/>
      </w:rPr>
    </w:lvl>
    <w:lvl w:ilvl="4" w:tplc="664E4FAA">
      <w:start w:val="1"/>
      <w:numFmt w:val="bullet"/>
      <w:lvlText w:val="•"/>
      <w:lvlJc w:val="left"/>
      <w:pPr>
        <w:ind w:left="4082" w:hanging="360"/>
      </w:pPr>
      <w:rPr>
        <w:rFonts w:hint="default"/>
      </w:rPr>
    </w:lvl>
    <w:lvl w:ilvl="5" w:tplc="C71CF91A">
      <w:start w:val="1"/>
      <w:numFmt w:val="bullet"/>
      <w:lvlText w:val="•"/>
      <w:lvlJc w:val="left"/>
      <w:pPr>
        <w:ind w:left="5042" w:hanging="360"/>
      </w:pPr>
      <w:rPr>
        <w:rFonts w:hint="default"/>
      </w:rPr>
    </w:lvl>
    <w:lvl w:ilvl="6" w:tplc="1296604A">
      <w:start w:val="1"/>
      <w:numFmt w:val="bullet"/>
      <w:lvlText w:val="•"/>
      <w:lvlJc w:val="left"/>
      <w:pPr>
        <w:ind w:left="6003" w:hanging="360"/>
      </w:pPr>
      <w:rPr>
        <w:rFonts w:hint="default"/>
      </w:rPr>
    </w:lvl>
    <w:lvl w:ilvl="7" w:tplc="75B28DF0">
      <w:start w:val="1"/>
      <w:numFmt w:val="bullet"/>
      <w:lvlText w:val="•"/>
      <w:lvlJc w:val="left"/>
      <w:pPr>
        <w:ind w:left="6964" w:hanging="360"/>
      </w:pPr>
      <w:rPr>
        <w:rFonts w:hint="default"/>
      </w:rPr>
    </w:lvl>
    <w:lvl w:ilvl="8" w:tplc="AF389122">
      <w:start w:val="1"/>
      <w:numFmt w:val="bullet"/>
      <w:lvlText w:val="•"/>
      <w:lvlJc w:val="left"/>
      <w:pPr>
        <w:ind w:left="792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E1"/>
    <w:rsid w:val="000F7D0F"/>
    <w:rsid w:val="00155AC1"/>
    <w:rsid w:val="001D46E1"/>
    <w:rsid w:val="001E1C1A"/>
    <w:rsid w:val="00202949"/>
    <w:rsid w:val="004D27B1"/>
    <w:rsid w:val="005E2E21"/>
    <w:rsid w:val="006F3016"/>
    <w:rsid w:val="007D1723"/>
    <w:rsid w:val="00811ABF"/>
    <w:rsid w:val="009E6276"/>
    <w:rsid w:val="00A44CB1"/>
    <w:rsid w:val="00C2000E"/>
    <w:rsid w:val="00C2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389C6C"/>
  <w15:docId w15:val="{38B478C6-E052-4BC2-AC45-189C53C8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right="658"/>
      <w:outlineLvl w:val="0"/>
    </w:pPr>
    <w:rPr>
      <w:rFonts w:ascii="Calibri Light" w:eastAsia="Calibri Light" w:hAnsi="Calibri Light" w:cs="Calibri Light"/>
      <w:sz w:val="32"/>
      <w:szCs w:val="32"/>
    </w:rPr>
  </w:style>
  <w:style w:type="paragraph" w:styleId="Heading2">
    <w:name w:val="heading 2"/>
    <w:basedOn w:val="Normal"/>
    <w:uiPriority w:val="1"/>
    <w:qFormat/>
    <w:pPr>
      <w:spacing w:before="164"/>
      <w:ind w:left="552" w:right="658"/>
      <w:outlineLvl w:val="1"/>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3"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79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ellbeing@aub.ac.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cooperhind@aub.ac.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EA4AC41506D41824A8CD8B7B3FD3C" ma:contentTypeVersion="0" ma:contentTypeDescription="Create a new document." ma:contentTypeScope="" ma:versionID="90506cd70d683634af2dd7113daf454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7CFD6-9ED0-4813-A2E5-104B20CB8CCD}"/>
</file>

<file path=customXml/itemProps2.xml><?xml version="1.0" encoding="utf-8"?>
<ds:datastoreItem xmlns:ds="http://schemas.openxmlformats.org/officeDocument/2006/customXml" ds:itemID="{489272BB-35D4-4CA3-9507-155A7C2933E4}"/>
</file>

<file path=customXml/itemProps3.xml><?xml version="1.0" encoding="utf-8"?>
<ds:datastoreItem xmlns:ds="http://schemas.openxmlformats.org/officeDocument/2006/customXml" ds:itemID="{9DD184F5-C052-42DB-BE75-1A34A81F13E7}"/>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Noren</dc:creator>
  <cp:lastModifiedBy>Heidi Cooper-Hind</cp:lastModifiedBy>
  <cp:revision>2</cp:revision>
  <dcterms:created xsi:type="dcterms:W3CDTF">2017-10-05T06:50:00Z</dcterms:created>
  <dcterms:modified xsi:type="dcterms:W3CDTF">2017-10-05T06:50:00Z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Word 2013</vt:lpwstr>
  </property>
  <property fmtid="{D5CDD505-2E9C-101B-9397-08002B2CF9AE}" pid="4" name="LastSaved">
    <vt:filetime>2017-10-02T00:00:00Z</vt:filetime>
  </property>
  <property fmtid="{D5CDD505-2E9C-101B-9397-08002B2CF9AE}" pid="5" name="ContentTypeId">
    <vt:lpwstr>0x010100A91EA4AC41506D41824A8CD8B7B3FD3C</vt:lpwstr>
  </property>
</Properties>
</file>